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07EA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800" w:firstLineChars="200"/>
        <w:jc w:val="center"/>
        <w:textAlignment w:val="auto"/>
        <w:rPr>
          <w:rStyle w:val="7"/>
          <w:rFonts w:hint="eastAsia" w:ascii="Times New Roman" w:hAnsi="Times New Roman" w:eastAsia="方正仿宋_GB18030" w:cs="方正仿宋_GB18030"/>
          <w:b w:val="0"/>
          <w:bCs w:val="0"/>
          <w:color w:val="auto"/>
          <w:sz w:val="40"/>
          <w:szCs w:val="40"/>
          <w:u w:val="none"/>
        </w:rPr>
      </w:pPr>
    </w:p>
    <w:p w14:paraId="16D564C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80" w:lineRule="exact"/>
        <w:jc w:val="center"/>
        <w:textAlignment w:val="auto"/>
        <w:rPr>
          <w:rStyle w:val="7"/>
          <w:rFonts w:hint="eastAsia" w:ascii="Times New Roman" w:hAnsi="Times New Roman" w:eastAsia="方正小标宋_GBK" w:cs="方正小标宋_GBK"/>
          <w:b w:val="0"/>
          <w:bCs w:val="0"/>
          <w:color w:val="auto"/>
          <w:sz w:val="44"/>
          <w:szCs w:val="44"/>
          <w:u w:val="none"/>
          <w:lang w:val="en-US" w:eastAsia="zh-CN"/>
        </w:rPr>
      </w:pPr>
      <w:r>
        <w:rPr>
          <w:rStyle w:val="7"/>
          <w:rFonts w:hint="eastAsia" w:ascii="Times New Roman" w:hAnsi="Times New Roman" w:eastAsia="方正小标宋_GBK" w:cs="方正小标宋_GBK"/>
          <w:b w:val="0"/>
          <w:bCs w:val="0"/>
          <w:color w:val="auto"/>
          <w:sz w:val="44"/>
          <w:szCs w:val="44"/>
          <w:u w:val="none"/>
        </w:rPr>
        <w:t>泰州市</w:t>
      </w:r>
      <w:r>
        <w:rPr>
          <w:rStyle w:val="7"/>
          <w:rFonts w:hint="eastAsia" w:ascii="Times New Roman" w:hAnsi="Times New Roman" w:eastAsia="方正小标宋_GBK" w:cs="方正小标宋_GBK"/>
          <w:b w:val="0"/>
          <w:bCs w:val="0"/>
          <w:color w:val="auto"/>
          <w:sz w:val="44"/>
          <w:szCs w:val="44"/>
          <w:u w:val="none"/>
          <w:lang w:val="en-US" w:eastAsia="zh-CN"/>
        </w:rPr>
        <w:t>建设工程</w:t>
      </w:r>
      <w:r>
        <w:rPr>
          <w:rStyle w:val="7"/>
          <w:rFonts w:hint="eastAsia" w:ascii="Times New Roman" w:hAnsi="Times New Roman" w:eastAsia="方正小标宋_GBK" w:cs="方正小标宋_GBK"/>
          <w:b w:val="0"/>
          <w:bCs w:val="0"/>
          <w:color w:val="auto"/>
          <w:sz w:val="44"/>
          <w:szCs w:val="44"/>
          <w:u w:val="none"/>
        </w:rPr>
        <w:t>招标代理与工程造价咨询</w:t>
      </w:r>
      <w:r>
        <w:rPr>
          <w:rStyle w:val="7"/>
          <w:rFonts w:hint="eastAsia" w:ascii="Times New Roman" w:hAnsi="Times New Roman" w:eastAsia="方正小标宋_GBK" w:cs="方正小标宋_GBK"/>
          <w:b w:val="0"/>
          <w:bCs w:val="0"/>
          <w:color w:val="auto"/>
          <w:sz w:val="44"/>
          <w:szCs w:val="44"/>
          <w:u w:val="none"/>
          <w:lang w:val="en-US" w:eastAsia="zh-CN"/>
        </w:rPr>
        <w:t>行业履约能力评估办法（征求意见稿）</w:t>
      </w:r>
    </w:p>
    <w:p w14:paraId="136C7B1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800" w:firstLineChars="200"/>
        <w:jc w:val="center"/>
        <w:textAlignment w:val="auto"/>
        <w:rPr>
          <w:rStyle w:val="7"/>
          <w:rFonts w:hint="eastAsia" w:ascii="Times New Roman" w:hAnsi="Times New Roman" w:eastAsia="方正仿宋_GB18030" w:cs="方正仿宋_GB18030"/>
          <w:b w:val="0"/>
          <w:bCs w:val="0"/>
          <w:color w:val="auto"/>
          <w:sz w:val="40"/>
          <w:szCs w:val="40"/>
          <w:u w:val="none"/>
          <w:lang w:val="en-US" w:eastAsia="zh-CN"/>
        </w:rPr>
      </w:pPr>
    </w:p>
    <w:p w14:paraId="073C29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sz w:val="32"/>
          <w:szCs w:val="32"/>
          <w:u w:val="none"/>
        </w:rPr>
        <w:t>第一条</w:t>
      </w:r>
      <w:r>
        <w:rPr>
          <w:rFonts w:hint="eastAsia" w:ascii="Times New Roman" w:hAnsi="Times New Roman" w:eastAsia="方正仿宋_GB18030" w:cs="方正仿宋_GB18030"/>
          <w:color w:val="auto"/>
          <w:sz w:val="32"/>
          <w:szCs w:val="32"/>
          <w:u w:val="none"/>
        </w:rPr>
        <w:t xml:space="preserve"> </w:t>
      </w:r>
      <w:r>
        <w:rPr>
          <w:rFonts w:hint="eastAsia" w:ascii="Times New Roman" w:hAnsi="Times New Roman" w:eastAsia="方正仿宋_GB18030" w:cs="方正仿宋_GB18030"/>
          <w:color w:val="auto"/>
          <w:sz w:val="32"/>
          <w:szCs w:val="32"/>
          <w:u w:val="none"/>
          <w:lang w:val="en-US" w:eastAsia="zh-CN"/>
        </w:rPr>
        <w:t xml:space="preserve"> </w:t>
      </w:r>
      <w:r>
        <w:rPr>
          <w:rFonts w:hint="eastAsia" w:ascii="Times New Roman" w:hAnsi="Times New Roman" w:eastAsia="方正仿宋_GB18030" w:cs="方正仿宋_GB18030"/>
          <w:color w:val="auto"/>
          <w:sz w:val="32"/>
          <w:szCs w:val="32"/>
          <w:u w:val="none"/>
        </w:rPr>
        <w:t>为</w:t>
      </w:r>
      <w:r>
        <w:rPr>
          <w:rFonts w:hint="eastAsia" w:ascii="Times New Roman" w:hAnsi="Times New Roman" w:eastAsia="方正仿宋_GB18030" w:cs="方正仿宋_GB18030"/>
          <w:color w:val="auto"/>
          <w:sz w:val="32"/>
          <w:szCs w:val="32"/>
          <w:u w:val="none"/>
          <w:lang w:val="en-US" w:eastAsia="zh-CN"/>
        </w:rPr>
        <w:t>促进我市</w:t>
      </w:r>
      <w:r>
        <w:rPr>
          <w:rFonts w:hint="eastAsia" w:ascii="Times New Roman" w:hAnsi="Times New Roman" w:eastAsia="方正仿宋_GB18030" w:cs="方正仿宋_GB18030"/>
          <w:color w:val="auto"/>
          <w:sz w:val="32"/>
          <w:szCs w:val="32"/>
          <w:u w:val="none"/>
        </w:rPr>
        <w:t>建设工程招投标与造价咨询行业</w:t>
      </w:r>
      <w:r>
        <w:rPr>
          <w:rFonts w:hint="eastAsia" w:ascii="Times New Roman" w:hAnsi="Times New Roman" w:eastAsia="方正仿宋_GB18030" w:cs="方正仿宋_GB18030"/>
          <w:color w:val="auto"/>
          <w:sz w:val="32"/>
          <w:szCs w:val="32"/>
          <w:u w:val="none"/>
          <w:lang w:val="en-US" w:eastAsia="zh-CN"/>
        </w:rPr>
        <w:t>高质量发展</w:t>
      </w:r>
      <w:r>
        <w:rPr>
          <w:rFonts w:hint="eastAsia" w:ascii="Times New Roman" w:hAnsi="Times New Roman" w:eastAsia="方正仿宋_GB18030" w:cs="方正仿宋_GB18030"/>
          <w:b w:val="0"/>
          <w:bCs w:val="0"/>
          <w:color w:val="auto"/>
          <w:sz w:val="32"/>
          <w:szCs w:val="32"/>
          <w:u w:val="none"/>
        </w:rPr>
        <w:t>，</w:t>
      </w:r>
      <w:r>
        <w:rPr>
          <w:rFonts w:hint="eastAsia" w:ascii="Times New Roman" w:hAnsi="Times New Roman" w:eastAsia="方正仿宋_GB18030" w:cs="方正仿宋_GB18030"/>
          <w:color w:val="auto"/>
          <w:kern w:val="0"/>
          <w:sz w:val="32"/>
          <w:szCs w:val="32"/>
          <w:u w:val="none"/>
          <w:lang w:val="en-US" w:eastAsia="zh-CN" w:bidi="ar"/>
        </w:rPr>
        <w:t>根据</w:t>
      </w:r>
      <w:r>
        <w:rPr>
          <w:rFonts w:hint="eastAsia" w:ascii="Times New Roman" w:hAnsi="Times New Roman" w:eastAsia="方正仿宋_GB18030" w:cs="方正仿宋_GB18030"/>
          <w:b w:val="0"/>
          <w:bCs w:val="0"/>
          <w:color w:val="auto"/>
          <w:sz w:val="32"/>
          <w:szCs w:val="32"/>
          <w:u w:val="none"/>
          <w:lang w:eastAsia="zh-CN"/>
        </w:rPr>
        <w:t>《</w:t>
      </w:r>
      <w:r>
        <w:rPr>
          <w:rFonts w:hint="eastAsia" w:ascii="Times New Roman" w:hAnsi="Times New Roman" w:eastAsia="方正仿宋_GB18030" w:cs="方正仿宋_GB18030"/>
          <w:b w:val="0"/>
          <w:bCs w:val="0"/>
          <w:color w:val="auto"/>
          <w:sz w:val="32"/>
          <w:szCs w:val="32"/>
          <w:u w:val="none"/>
          <w:lang w:val="en-US" w:eastAsia="zh-CN"/>
        </w:rPr>
        <w:t>江苏省社会信用条例</w:t>
      </w:r>
      <w:r>
        <w:rPr>
          <w:rFonts w:hint="eastAsia" w:ascii="Times New Roman" w:hAnsi="Times New Roman" w:eastAsia="方正仿宋_GB18030" w:cs="方正仿宋_GB18030"/>
          <w:b w:val="0"/>
          <w:bCs w:val="0"/>
          <w:color w:val="auto"/>
          <w:sz w:val="32"/>
          <w:szCs w:val="32"/>
          <w:u w:val="none"/>
          <w:lang w:eastAsia="zh-CN"/>
        </w:rPr>
        <w:t>》、</w:t>
      </w:r>
      <w:r>
        <w:rPr>
          <w:rFonts w:hint="eastAsia" w:ascii="Times New Roman" w:hAnsi="Times New Roman" w:eastAsia="方正仿宋_GB18030" w:cs="方正仿宋_GB18030"/>
          <w:color w:val="auto"/>
          <w:kern w:val="0"/>
          <w:sz w:val="31"/>
          <w:szCs w:val="31"/>
          <w:u w:val="none"/>
          <w:lang w:val="en-US" w:eastAsia="zh-CN" w:bidi="ar"/>
        </w:rPr>
        <w:t>《中共中央办公厅 国务院关于健全社会信用体系的意见》、</w:t>
      </w:r>
      <w:r>
        <w:rPr>
          <w:rFonts w:hint="eastAsia" w:ascii="Times New Roman" w:hAnsi="Times New Roman" w:eastAsia="方正仿宋_GB18030" w:cs="方正仿宋_GB18030"/>
          <w:color w:val="auto"/>
          <w:kern w:val="0"/>
          <w:sz w:val="32"/>
          <w:szCs w:val="32"/>
          <w:u w:val="none"/>
          <w:lang w:val="en-US" w:eastAsia="zh-CN" w:bidi="ar"/>
        </w:rPr>
        <w:t>《江苏省招标投标实施条例》、《江苏省建设工程造价管理办法》、《泰州市建设工程招标代理与造价咨询行业协同管理实施方案》及其他有关规定，制定本办法。</w:t>
      </w:r>
    </w:p>
    <w:p w14:paraId="100532C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default" w:ascii="Times New Roman" w:hAnsi="Times New Roman" w:eastAsia="方正仿宋_GB18030" w:cs="方正仿宋_GB18030"/>
          <w:color w:val="auto"/>
          <w:kern w:val="2"/>
          <w:sz w:val="32"/>
          <w:szCs w:val="32"/>
          <w:u w:val="none"/>
          <w:lang w:val="en-US" w:eastAsia="zh-CN" w:bidi="ar-SA"/>
        </w:rPr>
      </w:pPr>
      <w:r>
        <w:rPr>
          <w:rFonts w:hint="eastAsia" w:ascii="Times New Roman" w:hAnsi="Times New Roman" w:eastAsia="方正黑体_GBK" w:cs="方正黑体_GBK"/>
          <w:color w:val="auto"/>
          <w:kern w:val="2"/>
          <w:sz w:val="32"/>
          <w:szCs w:val="32"/>
          <w:u w:val="none"/>
          <w:lang w:val="en-US" w:eastAsia="zh-CN" w:bidi="ar-SA"/>
        </w:rPr>
        <w:t>第二条</w:t>
      </w:r>
      <w:r>
        <w:rPr>
          <w:rFonts w:hint="eastAsia" w:ascii="Times New Roman" w:hAnsi="Times New Roman" w:eastAsia="方正仿宋_GB18030" w:cs="方正仿宋_GB18030"/>
          <w:color w:val="auto"/>
          <w:sz w:val="32"/>
          <w:szCs w:val="32"/>
          <w:u w:val="none"/>
        </w:rPr>
        <w:t xml:space="preserve"> </w:t>
      </w:r>
      <w:r>
        <w:rPr>
          <w:rFonts w:hint="eastAsia" w:ascii="Times New Roman" w:hAnsi="Times New Roman" w:eastAsia="方正仿宋_GB18030" w:cs="方正仿宋_GB18030"/>
          <w:color w:val="auto"/>
          <w:sz w:val="32"/>
          <w:szCs w:val="32"/>
          <w:u w:val="none"/>
          <w:lang w:val="en-US" w:eastAsia="zh-CN"/>
        </w:rPr>
        <w:t xml:space="preserve"> </w:t>
      </w:r>
      <w:r>
        <w:rPr>
          <w:rFonts w:hint="eastAsia" w:ascii="Times New Roman" w:hAnsi="Times New Roman" w:eastAsia="方正仿宋_GB18030" w:cs="方正仿宋_GB18030"/>
          <w:color w:val="auto"/>
          <w:kern w:val="2"/>
          <w:sz w:val="32"/>
          <w:szCs w:val="32"/>
          <w:u w:val="none"/>
          <w:lang w:val="en-US" w:eastAsia="zh-CN" w:bidi="ar-SA"/>
        </w:rPr>
        <w:t>本办法评估对象：</w:t>
      </w:r>
    </w:p>
    <w:p w14:paraId="7242A4D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319" w:leftChars="152" w:firstLine="320" w:firstLineChars="100"/>
        <w:textAlignment w:val="auto"/>
        <w:rPr>
          <w:rFonts w:hint="eastAsia" w:ascii="Times New Roman" w:hAnsi="Times New Roman" w:eastAsia="方正仿宋_GB18030" w:cs="方正仿宋_GB18030"/>
          <w:color w:val="auto"/>
          <w:kern w:val="2"/>
          <w:sz w:val="32"/>
          <w:szCs w:val="32"/>
          <w:u w:val="none"/>
          <w:lang w:val="en-US" w:eastAsia="zh-CN" w:bidi="ar-SA"/>
        </w:rPr>
      </w:pPr>
      <w:r>
        <w:rPr>
          <w:rFonts w:hint="eastAsia" w:ascii="Times New Roman" w:hAnsi="Times New Roman" w:eastAsia="方正仿宋_GB18030" w:cs="方正仿宋_GB18030"/>
          <w:color w:val="auto"/>
          <w:kern w:val="2"/>
          <w:sz w:val="32"/>
          <w:szCs w:val="32"/>
          <w:u w:val="none"/>
          <w:lang w:val="en-US" w:eastAsia="zh-CN" w:bidi="ar-SA"/>
        </w:rPr>
        <w:t>（1）泰州市建设工程招投标与造价管理协会的会员企业。</w:t>
      </w:r>
    </w:p>
    <w:p w14:paraId="0D25866B">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kern w:val="2"/>
          <w:sz w:val="32"/>
          <w:szCs w:val="32"/>
          <w:u w:val="none"/>
          <w:lang w:val="en-US" w:eastAsia="zh-CN" w:bidi="ar-SA"/>
        </w:rPr>
      </w:pPr>
      <w:r>
        <w:rPr>
          <w:rFonts w:hint="eastAsia" w:ascii="Times New Roman" w:hAnsi="Times New Roman" w:eastAsia="方正仿宋_GB18030" w:cs="方正仿宋_GB18030"/>
          <w:color w:val="auto"/>
          <w:kern w:val="2"/>
          <w:sz w:val="32"/>
          <w:szCs w:val="32"/>
          <w:u w:val="none"/>
          <w:lang w:val="en-US" w:eastAsia="zh-CN" w:bidi="ar-SA"/>
        </w:rPr>
        <w:t>（2）泰州市建设工程招投标与造价管理协会会员企业中从事建设工程招标代理业务的专职人员。</w:t>
      </w:r>
    </w:p>
    <w:p w14:paraId="6D84944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kern w:val="2"/>
          <w:sz w:val="32"/>
          <w:szCs w:val="32"/>
          <w:u w:val="none"/>
          <w:lang w:val="en-US" w:eastAsia="zh-CN" w:bidi="ar-SA"/>
        </w:rPr>
        <w:t>（3）通过全国一级造价工程师或江苏省二级造价工程师职业资格考试，并注册取得《造价工程师注册证》，在本市行政区域内从事建设工程造价咨询业务的会员企业专职人员。</w:t>
      </w:r>
    </w:p>
    <w:p w14:paraId="263FF02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kern w:val="2"/>
          <w:sz w:val="32"/>
          <w:szCs w:val="32"/>
          <w:u w:val="none"/>
          <w:lang w:val="en-US" w:eastAsia="zh-CN" w:bidi="ar-SA"/>
        </w:rPr>
        <w:t>第三条</w:t>
      </w:r>
      <w:r>
        <w:rPr>
          <w:rFonts w:hint="eastAsia" w:ascii="Times New Roman" w:hAnsi="Times New Roman" w:eastAsia="方正仿宋_GB18030" w:cs="方正仿宋_GB18030"/>
          <w:color w:val="auto"/>
          <w:sz w:val="32"/>
          <w:szCs w:val="32"/>
          <w:u w:val="none"/>
        </w:rPr>
        <w:t xml:space="preserve"> </w:t>
      </w:r>
      <w:r>
        <w:rPr>
          <w:rFonts w:hint="eastAsia" w:ascii="Times New Roman" w:hAnsi="Times New Roman" w:eastAsia="方正仿宋_GB18030" w:cs="方正仿宋_GB18030"/>
          <w:color w:val="auto"/>
          <w:sz w:val="32"/>
          <w:szCs w:val="32"/>
          <w:u w:val="none"/>
          <w:lang w:val="en-US" w:eastAsia="zh-CN"/>
        </w:rPr>
        <w:t xml:space="preserve"> </w:t>
      </w:r>
      <w:r>
        <w:rPr>
          <w:rFonts w:hint="eastAsia" w:ascii="Times New Roman" w:hAnsi="Times New Roman" w:eastAsia="方正仿宋_GB18030" w:cs="方正仿宋_GB18030"/>
          <w:color w:val="auto"/>
          <w:sz w:val="32"/>
          <w:szCs w:val="32"/>
          <w:u w:val="none"/>
        </w:rPr>
        <w:t>本办法所称履约能力评估是指依据评估内容和标准，对</w:t>
      </w:r>
      <w:r>
        <w:rPr>
          <w:rFonts w:hint="eastAsia" w:ascii="Times New Roman" w:hAnsi="Times New Roman" w:eastAsia="方正仿宋_GB18030" w:cs="方正仿宋_GB18030"/>
          <w:color w:val="auto"/>
          <w:sz w:val="32"/>
          <w:szCs w:val="32"/>
          <w:u w:val="none"/>
          <w:lang w:val="en-US" w:eastAsia="zh-CN"/>
        </w:rPr>
        <w:t>建设工程</w:t>
      </w:r>
      <w:r>
        <w:rPr>
          <w:rFonts w:hint="eastAsia" w:ascii="Times New Roman" w:hAnsi="Times New Roman" w:eastAsia="方正仿宋_GB18030" w:cs="方正仿宋_GB18030"/>
          <w:color w:val="auto"/>
          <w:sz w:val="32"/>
          <w:szCs w:val="32"/>
          <w:u w:val="none"/>
        </w:rPr>
        <w:t>招标代理与工程造价咨询</w:t>
      </w:r>
      <w:r>
        <w:rPr>
          <w:rFonts w:hint="eastAsia" w:ascii="Times New Roman" w:hAnsi="Times New Roman" w:eastAsia="方正仿宋_GB18030" w:cs="方正仿宋_GB18030"/>
          <w:color w:val="auto"/>
          <w:sz w:val="32"/>
          <w:szCs w:val="32"/>
          <w:u w:val="none"/>
          <w:lang w:val="en-US" w:eastAsia="zh-CN"/>
        </w:rPr>
        <w:t>企业或个人</w:t>
      </w:r>
      <w:r>
        <w:rPr>
          <w:rFonts w:hint="eastAsia" w:ascii="Times New Roman" w:hAnsi="Times New Roman" w:eastAsia="方正仿宋_GB18030" w:cs="方正仿宋_GB18030"/>
          <w:color w:val="auto"/>
          <w:sz w:val="32"/>
          <w:szCs w:val="32"/>
          <w:u w:val="none"/>
        </w:rPr>
        <w:t>行为逐项进行积分和汇总，并将评估结果予以公布。</w:t>
      </w:r>
    </w:p>
    <w:p w14:paraId="00AAFE8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rPr>
        <w:t>履约能力评估坚持</w:t>
      </w:r>
      <w:r>
        <w:rPr>
          <w:rFonts w:hint="eastAsia" w:ascii="Times New Roman" w:hAnsi="Times New Roman" w:eastAsia="方正仿宋_GB18030" w:cs="方正仿宋_GB18030"/>
          <w:color w:val="auto"/>
          <w:sz w:val="32"/>
          <w:szCs w:val="32"/>
          <w:u w:val="none"/>
          <w:lang w:val="en-US" w:eastAsia="zh-CN"/>
        </w:rPr>
        <w:t>自愿参与、</w:t>
      </w:r>
      <w:r>
        <w:rPr>
          <w:rFonts w:hint="eastAsia" w:ascii="Times New Roman" w:hAnsi="Times New Roman" w:eastAsia="方正仿宋_GB18030" w:cs="方正仿宋_GB18030"/>
          <w:color w:val="auto"/>
          <w:sz w:val="32"/>
          <w:szCs w:val="32"/>
          <w:u w:val="none"/>
        </w:rPr>
        <w:t>客观公正、科学适用原则</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 xml:space="preserve"> </w:t>
      </w:r>
    </w:p>
    <w:p w14:paraId="678799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sz w:val="32"/>
          <w:szCs w:val="32"/>
          <w:u w:val="none"/>
        </w:rPr>
        <w:t>第</w:t>
      </w:r>
      <w:r>
        <w:rPr>
          <w:rFonts w:hint="eastAsia" w:ascii="Times New Roman" w:hAnsi="Times New Roman" w:eastAsia="方正黑体_GBK" w:cs="方正黑体_GBK"/>
          <w:color w:val="auto"/>
          <w:sz w:val="32"/>
          <w:szCs w:val="32"/>
          <w:u w:val="none"/>
          <w:lang w:val="en-US" w:eastAsia="zh-CN"/>
        </w:rPr>
        <w:t>四</w:t>
      </w:r>
      <w:r>
        <w:rPr>
          <w:rFonts w:hint="eastAsia" w:ascii="Times New Roman" w:hAnsi="Times New Roman" w:eastAsia="方正黑体_GBK" w:cs="方正黑体_GBK"/>
          <w:color w:val="auto"/>
          <w:sz w:val="32"/>
          <w:szCs w:val="32"/>
          <w:u w:val="none"/>
        </w:rPr>
        <w:t>条</w:t>
      </w:r>
      <w:r>
        <w:rPr>
          <w:rFonts w:hint="eastAsia" w:ascii="Times New Roman" w:hAnsi="Times New Roman" w:eastAsia="方正仿宋_GB18030" w:cs="方正仿宋_GB18030"/>
          <w:color w:val="auto"/>
          <w:sz w:val="32"/>
          <w:szCs w:val="32"/>
          <w:u w:val="none"/>
        </w:rPr>
        <w:t xml:space="preserve"> </w:t>
      </w:r>
      <w:r>
        <w:rPr>
          <w:rFonts w:hint="eastAsia" w:ascii="Times New Roman" w:hAnsi="Times New Roman" w:eastAsia="方正仿宋_GB18030" w:cs="方正仿宋_GB18030"/>
          <w:color w:val="auto"/>
          <w:sz w:val="32"/>
          <w:szCs w:val="32"/>
          <w:u w:val="none"/>
          <w:lang w:val="en-US" w:eastAsia="zh-CN"/>
        </w:rPr>
        <w:t xml:space="preserve"> 泰州市建设工程招投标与造价管理协会</w:t>
      </w:r>
      <w:r>
        <w:rPr>
          <w:rFonts w:hint="eastAsia" w:ascii="Times New Roman" w:hAnsi="Times New Roman" w:eastAsia="方正仿宋_GB18030" w:cs="方正仿宋_GB18030"/>
          <w:color w:val="auto"/>
          <w:sz w:val="32"/>
          <w:szCs w:val="32"/>
          <w:u w:val="none"/>
        </w:rPr>
        <w:t>负责</w:t>
      </w:r>
      <w:r>
        <w:rPr>
          <w:rFonts w:hint="eastAsia" w:ascii="Times New Roman" w:hAnsi="Times New Roman" w:eastAsia="方正仿宋_GB18030" w:cs="方正仿宋_GB18030"/>
          <w:color w:val="auto"/>
          <w:sz w:val="32"/>
          <w:szCs w:val="32"/>
          <w:u w:val="none"/>
          <w:lang w:val="en-US" w:eastAsia="zh-CN"/>
        </w:rPr>
        <w:t>全市</w:t>
      </w:r>
      <w:r>
        <w:rPr>
          <w:rFonts w:hint="eastAsia" w:ascii="Times New Roman" w:hAnsi="Times New Roman" w:eastAsia="方正仿宋_GB18030" w:cs="方正仿宋_GB18030"/>
          <w:color w:val="auto"/>
          <w:sz w:val="32"/>
          <w:szCs w:val="32"/>
          <w:u w:val="none"/>
        </w:rPr>
        <w:t>招标代理与工程造价咨询</w:t>
      </w:r>
      <w:r>
        <w:rPr>
          <w:rFonts w:hint="eastAsia" w:ascii="Times New Roman" w:hAnsi="Times New Roman" w:eastAsia="方正仿宋_GB18030" w:cs="方正仿宋_GB18030"/>
          <w:color w:val="auto"/>
          <w:sz w:val="32"/>
          <w:szCs w:val="32"/>
          <w:u w:val="none"/>
          <w:lang w:val="en-US" w:eastAsia="zh-CN"/>
        </w:rPr>
        <w:t>会员企业或个人</w:t>
      </w:r>
      <w:r>
        <w:rPr>
          <w:rFonts w:hint="eastAsia" w:ascii="Times New Roman" w:hAnsi="Times New Roman" w:eastAsia="方正仿宋_GB18030" w:cs="方正仿宋_GB18030"/>
          <w:color w:val="auto"/>
          <w:sz w:val="32"/>
          <w:szCs w:val="32"/>
          <w:u w:val="none"/>
        </w:rPr>
        <w:t>履约能力评估体系建设和管理工作。</w:t>
      </w:r>
    </w:p>
    <w:p w14:paraId="4E720A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黑体_GBK" w:cs="方正黑体_GBK"/>
          <w:color w:val="auto"/>
          <w:sz w:val="32"/>
          <w:szCs w:val="32"/>
          <w:u w:val="none"/>
        </w:rPr>
        <w:t>第</w:t>
      </w:r>
      <w:r>
        <w:rPr>
          <w:rFonts w:hint="eastAsia" w:ascii="Times New Roman" w:hAnsi="Times New Roman" w:eastAsia="方正黑体_GBK" w:cs="方正黑体_GBK"/>
          <w:color w:val="auto"/>
          <w:sz w:val="32"/>
          <w:szCs w:val="32"/>
          <w:u w:val="none"/>
          <w:lang w:val="en-US" w:eastAsia="zh-CN"/>
        </w:rPr>
        <w:t>五</w:t>
      </w:r>
      <w:r>
        <w:rPr>
          <w:rFonts w:hint="eastAsia" w:ascii="Times New Roman" w:hAnsi="Times New Roman" w:eastAsia="方正黑体_GBK" w:cs="方正黑体_GBK"/>
          <w:color w:val="auto"/>
          <w:sz w:val="32"/>
          <w:szCs w:val="32"/>
          <w:u w:val="none"/>
        </w:rPr>
        <w:t>条</w:t>
      </w:r>
      <w:r>
        <w:rPr>
          <w:rFonts w:hint="eastAsia" w:ascii="Times New Roman" w:hAnsi="Times New Roman" w:eastAsia="方正仿宋_GB18030" w:cs="方正仿宋_GB18030"/>
          <w:color w:val="auto"/>
          <w:sz w:val="32"/>
          <w:szCs w:val="32"/>
          <w:u w:val="none"/>
          <w:lang w:val="en-US" w:eastAsia="zh-CN"/>
        </w:rPr>
        <w:t xml:space="preserve">  履约能力评估分为企业履约能力评估与个人履约能力评估两类。</w:t>
      </w:r>
    </w:p>
    <w:p w14:paraId="50E563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仿宋_GB18030" w:cs="方正仿宋_GB18030"/>
          <w:color w:val="auto"/>
          <w:sz w:val="32"/>
          <w:szCs w:val="32"/>
          <w:u w:val="none"/>
          <w:lang w:val="en-US" w:eastAsia="zh-CN"/>
        </w:rPr>
        <w:t>企业履约能力评估由企业经营情况、业务情况与良好行为、不良行为等行为组成。实行量化积分，满分100分。</w:t>
      </w:r>
    </w:p>
    <w:p w14:paraId="158600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仿宋_GB18030" w:cs="方正仿宋_GB18030"/>
          <w:color w:val="auto"/>
          <w:sz w:val="32"/>
          <w:szCs w:val="32"/>
          <w:u w:val="none"/>
          <w:lang w:val="en-US" w:eastAsia="zh-CN"/>
        </w:rPr>
        <w:t>个人履约能力评估由业绩情况与良好行为、不良行为等行为组成。实行量化积分，满分100分。</w:t>
      </w:r>
    </w:p>
    <w:p w14:paraId="7881A0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黑体_GBK" w:cs="方正黑体_GBK"/>
          <w:color w:val="auto"/>
          <w:sz w:val="32"/>
          <w:szCs w:val="32"/>
          <w:u w:val="none"/>
        </w:rPr>
        <w:t>第</w:t>
      </w:r>
      <w:r>
        <w:rPr>
          <w:rFonts w:hint="eastAsia" w:ascii="Times New Roman" w:hAnsi="Times New Roman" w:eastAsia="方正黑体_GBK" w:cs="方正黑体_GBK"/>
          <w:color w:val="auto"/>
          <w:sz w:val="32"/>
          <w:szCs w:val="32"/>
          <w:u w:val="none"/>
          <w:lang w:val="en-US" w:eastAsia="zh-CN"/>
        </w:rPr>
        <w:t>六</w:t>
      </w:r>
      <w:r>
        <w:rPr>
          <w:rFonts w:hint="eastAsia" w:ascii="Times New Roman" w:hAnsi="Times New Roman" w:eastAsia="方正黑体_GBK" w:cs="方正黑体_GBK"/>
          <w:color w:val="auto"/>
          <w:sz w:val="32"/>
          <w:szCs w:val="32"/>
          <w:u w:val="none"/>
        </w:rPr>
        <w:t>条</w:t>
      </w:r>
      <w:r>
        <w:rPr>
          <w:rFonts w:hint="eastAsia" w:ascii="Times New Roman" w:hAnsi="Times New Roman" w:eastAsia="方正仿宋_GB18030" w:cs="方正仿宋_GB18030"/>
          <w:color w:val="auto"/>
          <w:sz w:val="32"/>
          <w:szCs w:val="32"/>
          <w:u w:val="none"/>
          <w:lang w:val="en-US" w:eastAsia="zh-CN"/>
        </w:rPr>
        <w:t xml:space="preserve">  企业与个人履约能力评估均</w:t>
      </w:r>
      <w:r>
        <w:rPr>
          <w:rFonts w:hint="eastAsia" w:ascii="Times New Roman" w:hAnsi="Times New Roman" w:eastAsia="方正仿宋_GB18030" w:cs="方正仿宋_GB18030"/>
          <w:color w:val="auto"/>
          <w:sz w:val="32"/>
          <w:szCs w:val="32"/>
          <w:u w:val="none"/>
        </w:rPr>
        <w:t>实行</w:t>
      </w:r>
      <w:r>
        <w:rPr>
          <w:rFonts w:hint="eastAsia" w:ascii="Times New Roman" w:hAnsi="Times New Roman" w:eastAsia="方正仿宋_GB18030" w:cs="方正仿宋_GB18030"/>
          <w:color w:val="auto"/>
          <w:sz w:val="32"/>
          <w:szCs w:val="32"/>
          <w:u w:val="none"/>
          <w:lang w:val="en-US" w:eastAsia="zh-CN"/>
        </w:rPr>
        <w:t>年度综合评价</w:t>
      </w:r>
      <w:r>
        <w:rPr>
          <w:rFonts w:hint="eastAsia" w:ascii="Times New Roman" w:hAnsi="Times New Roman" w:eastAsia="方正仿宋_GB18030" w:cs="方正仿宋_GB18030"/>
          <w:color w:val="auto"/>
          <w:sz w:val="32"/>
          <w:szCs w:val="32"/>
          <w:u w:val="none"/>
        </w:rPr>
        <w:t>制度。</w:t>
      </w:r>
    </w:p>
    <w:p w14:paraId="45D6D72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kern w:val="2"/>
          <w:sz w:val="32"/>
          <w:szCs w:val="32"/>
          <w:u w:val="none"/>
          <w:lang w:val="en-US" w:eastAsia="zh-CN" w:bidi="ar-SA"/>
        </w:rPr>
        <w:t>第七条</w:t>
      </w:r>
      <w:r>
        <w:rPr>
          <w:rFonts w:hint="eastAsia" w:ascii="Times New Roman" w:hAnsi="Times New Roman" w:eastAsia="方正仿宋_GB18030" w:cs="方正仿宋_GB18030"/>
          <w:color w:val="auto"/>
          <w:sz w:val="32"/>
          <w:szCs w:val="32"/>
          <w:u w:val="none"/>
        </w:rPr>
        <w:t xml:space="preserve"> </w:t>
      </w:r>
      <w:r>
        <w:rPr>
          <w:rFonts w:hint="eastAsia" w:ascii="Times New Roman" w:hAnsi="Times New Roman" w:eastAsia="方正仿宋_GB18030" w:cs="方正仿宋_GB18030"/>
          <w:color w:val="auto"/>
          <w:sz w:val="32"/>
          <w:szCs w:val="32"/>
          <w:u w:val="none"/>
          <w:lang w:val="en-US" w:eastAsia="zh-CN"/>
        </w:rPr>
        <w:t xml:space="preserve"> 企业履约能力评估</w:t>
      </w:r>
      <w:r>
        <w:rPr>
          <w:rFonts w:hint="eastAsia" w:ascii="Times New Roman" w:hAnsi="Times New Roman" w:eastAsia="方正仿宋_GB18030" w:cs="方正仿宋_GB18030"/>
          <w:color w:val="auto"/>
          <w:sz w:val="32"/>
          <w:szCs w:val="32"/>
          <w:u w:val="none"/>
        </w:rPr>
        <w:t>等级分为</w:t>
      </w:r>
      <w:r>
        <w:rPr>
          <w:rFonts w:hint="eastAsia" w:ascii="Times New Roman" w:hAnsi="Times New Roman" w:eastAsia="方正仿宋_GB18030" w:cs="方正仿宋_GB18030"/>
          <w:color w:val="auto"/>
          <w:sz w:val="32"/>
          <w:szCs w:val="32"/>
          <w:u w:val="none"/>
          <w:lang w:val="en-US" w:eastAsia="zh-CN"/>
        </w:rPr>
        <w:t>A</w:t>
      </w:r>
      <w:r>
        <w:rPr>
          <w:rFonts w:hint="eastAsia" w:ascii="Times New Roman" w:hAnsi="Times New Roman" w:eastAsia="方正仿宋_GB18030" w:cs="方正仿宋_GB18030"/>
          <w:color w:val="auto"/>
          <w:sz w:val="32"/>
          <w:szCs w:val="32"/>
          <w:u w:val="none"/>
        </w:rPr>
        <w:t>、</w:t>
      </w:r>
      <w:r>
        <w:rPr>
          <w:rFonts w:hint="eastAsia" w:ascii="Times New Roman" w:hAnsi="Times New Roman" w:eastAsia="方正仿宋_GB18030" w:cs="方正仿宋_GB18030"/>
          <w:color w:val="auto"/>
          <w:sz w:val="32"/>
          <w:szCs w:val="32"/>
          <w:u w:val="none"/>
          <w:lang w:val="en-US" w:eastAsia="zh-CN"/>
        </w:rPr>
        <w:t>B</w:t>
      </w:r>
      <w:r>
        <w:rPr>
          <w:rFonts w:hint="eastAsia" w:ascii="Times New Roman" w:hAnsi="Times New Roman" w:eastAsia="方正仿宋_GB18030" w:cs="方正仿宋_GB18030"/>
          <w:color w:val="auto"/>
          <w:sz w:val="32"/>
          <w:szCs w:val="32"/>
          <w:u w:val="none"/>
        </w:rPr>
        <w:t>、</w:t>
      </w:r>
      <w:r>
        <w:rPr>
          <w:rFonts w:hint="eastAsia" w:ascii="Times New Roman" w:hAnsi="Times New Roman" w:eastAsia="方正仿宋_GB18030" w:cs="方正仿宋_GB18030"/>
          <w:color w:val="auto"/>
          <w:sz w:val="32"/>
          <w:szCs w:val="32"/>
          <w:u w:val="none"/>
          <w:lang w:val="en-US" w:eastAsia="zh-CN"/>
        </w:rPr>
        <w:t>C、D四</w:t>
      </w:r>
      <w:r>
        <w:rPr>
          <w:rFonts w:hint="eastAsia" w:ascii="Times New Roman" w:hAnsi="Times New Roman" w:eastAsia="方正仿宋_GB18030" w:cs="方正仿宋_GB18030"/>
          <w:color w:val="auto"/>
          <w:sz w:val="32"/>
          <w:szCs w:val="32"/>
          <w:u w:val="none"/>
        </w:rPr>
        <w:t>个</w:t>
      </w:r>
      <w:r>
        <w:rPr>
          <w:rFonts w:hint="eastAsia" w:ascii="Times New Roman" w:hAnsi="Times New Roman" w:eastAsia="方正仿宋_GB18030" w:cs="方正仿宋_GB18030"/>
          <w:color w:val="auto"/>
          <w:sz w:val="32"/>
          <w:szCs w:val="32"/>
          <w:u w:val="none"/>
          <w:lang w:val="en-US" w:eastAsia="zh-CN"/>
        </w:rPr>
        <w:t>类</w:t>
      </w:r>
      <w:r>
        <w:rPr>
          <w:rFonts w:hint="eastAsia" w:ascii="Times New Roman" w:hAnsi="Times New Roman" w:eastAsia="方正仿宋_GB18030" w:cs="方正仿宋_GB18030"/>
          <w:color w:val="auto"/>
          <w:sz w:val="32"/>
          <w:szCs w:val="32"/>
          <w:u w:val="none"/>
        </w:rPr>
        <w:t>别</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（四舍五入取整，同分跟进）：</w:t>
      </w:r>
    </w:p>
    <w:p w14:paraId="2EAC1F9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lang w:val="en-US" w:eastAsia="zh-CN"/>
        </w:rPr>
        <w:t>A</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占参评企业总个数的20%</w:t>
      </w:r>
      <w:r>
        <w:rPr>
          <w:rFonts w:hint="eastAsia" w:ascii="Times New Roman" w:hAnsi="Times New Roman" w:eastAsia="方正仿宋_GB18030" w:cs="方正仿宋_GB18030"/>
          <w:color w:val="auto"/>
          <w:sz w:val="32"/>
          <w:szCs w:val="32"/>
          <w:u w:val="none"/>
        </w:rPr>
        <w:t>；</w:t>
      </w:r>
    </w:p>
    <w:p w14:paraId="5354E8D2">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default" w:ascii="Times New Roman" w:hAnsi="Times New Roman" w:eastAsia="方正仿宋_GB18030" w:cs="方正仿宋_GB18030"/>
          <w:color w:val="auto"/>
          <w:sz w:val="32"/>
          <w:szCs w:val="32"/>
          <w:u w:val="none"/>
          <w:lang w:val="en-US"/>
        </w:rPr>
      </w:pPr>
      <w:r>
        <w:rPr>
          <w:rFonts w:hint="eastAsia" w:ascii="Times New Roman" w:hAnsi="Times New Roman" w:eastAsia="方正仿宋_GB18030" w:cs="方正仿宋_GB18030"/>
          <w:color w:val="auto"/>
          <w:sz w:val="32"/>
          <w:szCs w:val="32"/>
          <w:u w:val="none"/>
          <w:lang w:val="en-US" w:eastAsia="zh-CN"/>
        </w:rPr>
        <w:t>B</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占参评企业总个数的30%；</w:t>
      </w:r>
    </w:p>
    <w:p w14:paraId="7838210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仿宋_GB18030" w:cs="方正仿宋_GB18030"/>
          <w:color w:val="auto"/>
          <w:sz w:val="32"/>
          <w:szCs w:val="32"/>
          <w:u w:val="none"/>
          <w:lang w:val="en-US" w:eastAsia="zh-CN"/>
        </w:rPr>
        <w:t>C：占参评企业总个数的30%；</w:t>
      </w:r>
    </w:p>
    <w:p w14:paraId="4B7C4FF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仿宋_GB18030" w:cs="方正仿宋_GB18030"/>
          <w:color w:val="auto"/>
          <w:sz w:val="32"/>
          <w:szCs w:val="32"/>
          <w:u w:val="none"/>
          <w:lang w:val="en-US" w:eastAsia="zh-CN"/>
        </w:rPr>
        <w:t>D：占参评企业总个数的20%，或聘用评估不合格人员及未参评人员占公司聘用招标代理与注册造价师员工总数超过40%（含）的。</w:t>
      </w:r>
    </w:p>
    <w:p w14:paraId="6EAB0F4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kern w:val="2"/>
          <w:sz w:val="32"/>
          <w:szCs w:val="32"/>
          <w:u w:val="none"/>
          <w:lang w:val="en-US" w:eastAsia="zh-CN" w:bidi="ar-SA"/>
        </w:rPr>
        <w:t>第八条</w:t>
      </w:r>
      <w:r>
        <w:rPr>
          <w:rFonts w:hint="eastAsia" w:ascii="Times New Roman" w:hAnsi="Times New Roman" w:eastAsia="方正仿宋_GB18030" w:cs="方正仿宋_GB18030"/>
          <w:color w:val="auto"/>
          <w:sz w:val="32"/>
          <w:szCs w:val="32"/>
          <w:u w:val="none"/>
          <w:lang w:val="en-US" w:eastAsia="zh-CN"/>
        </w:rPr>
        <w:t xml:space="preserve">  个人</w:t>
      </w:r>
      <w:r>
        <w:rPr>
          <w:rFonts w:hint="eastAsia" w:ascii="Times New Roman" w:hAnsi="Times New Roman" w:eastAsia="方正仿宋_GB18030" w:cs="方正仿宋_GB18030"/>
          <w:color w:val="auto"/>
          <w:sz w:val="32"/>
          <w:szCs w:val="32"/>
          <w:u w:val="none"/>
        </w:rPr>
        <w:t>履约能力评估等级分为</w:t>
      </w:r>
      <w:r>
        <w:rPr>
          <w:rFonts w:hint="eastAsia" w:ascii="Times New Roman" w:hAnsi="Times New Roman" w:eastAsia="方正仿宋_GB18030" w:cs="方正仿宋_GB18030"/>
          <w:color w:val="auto"/>
          <w:sz w:val="32"/>
          <w:szCs w:val="32"/>
          <w:u w:val="none"/>
          <w:lang w:val="en-US" w:eastAsia="zh-CN"/>
        </w:rPr>
        <w:t>优秀、良好、合格、不合格四类</w:t>
      </w:r>
      <w:r>
        <w:rPr>
          <w:rFonts w:hint="eastAsia" w:ascii="Times New Roman" w:hAnsi="Times New Roman" w:eastAsia="方正仿宋_GB18030" w:cs="方正仿宋_GB18030"/>
          <w:color w:val="auto"/>
          <w:sz w:val="32"/>
          <w:szCs w:val="32"/>
          <w:u w:val="none"/>
        </w:rPr>
        <w:t>。</w:t>
      </w:r>
      <w:r>
        <w:rPr>
          <w:rFonts w:hint="eastAsia" w:ascii="Times New Roman" w:hAnsi="Times New Roman" w:eastAsia="方正仿宋_GB18030" w:cs="方正仿宋_GB18030"/>
          <w:color w:val="auto"/>
          <w:sz w:val="32"/>
          <w:szCs w:val="32"/>
          <w:u w:val="none"/>
          <w:lang w:val="en-US" w:eastAsia="zh-CN"/>
        </w:rPr>
        <w:t>（四舍五入取整，同分跟进）</w:t>
      </w:r>
    </w:p>
    <w:p w14:paraId="19857A8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lang w:val="en-US" w:eastAsia="zh-CN"/>
        </w:rPr>
        <w:t>优秀</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占参评人员总数的20%</w:t>
      </w:r>
      <w:r>
        <w:rPr>
          <w:rFonts w:hint="eastAsia" w:ascii="Times New Roman" w:hAnsi="Times New Roman" w:eastAsia="方正仿宋_GB18030" w:cs="方正仿宋_GB18030"/>
          <w:color w:val="auto"/>
          <w:sz w:val="32"/>
          <w:szCs w:val="32"/>
          <w:u w:val="none"/>
        </w:rPr>
        <w:t>；</w:t>
      </w:r>
    </w:p>
    <w:p w14:paraId="0FCDA17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default" w:ascii="Times New Roman" w:hAnsi="Times New Roman" w:eastAsia="方正仿宋_GB18030" w:cs="方正仿宋_GB18030"/>
          <w:color w:val="auto"/>
          <w:sz w:val="32"/>
          <w:szCs w:val="32"/>
          <w:u w:val="none"/>
          <w:lang w:val="en-US" w:eastAsia="zh-CN"/>
        </w:rPr>
      </w:pPr>
      <w:r>
        <w:rPr>
          <w:rFonts w:hint="eastAsia" w:ascii="Times New Roman" w:hAnsi="Times New Roman" w:eastAsia="方正仿宋_GB18030" w:cs="方正仿宋_GB18030"/>
          <w:color w:val="auto"/>
          <w:sz w:val="32"/>
          <w:szCs w:val="32"/>
          <w:u w:val="none"/>
          <w:lang w:val="en-US" w:eastAsia="zh-CN"/>
        </w:rPr>
        <w:t>良好：占参评人员总数的20%</w:t>
      </w:r>
      <w:r>
        <w:rPr>
          <w:rFonts w:hint="eastAsia" w:ascii="Times New Roman" w:hAnsi="Times New Roman" w:eastAsia="方正仿宋_GB18030" w:cs="方正仿宋_GB18030"/>
          <w:color w:val="auto"/>
          <w:sz w:val="32"/>
          <w:szCs w:val="32"/>
          <w:u w:val="none"/>
        </w:rPr>
        <w:t>；</w:t>
      </w:r>
    </w:p>
    <w:p w14:paraId="2B52359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lang w:val="en-US" w:eastAsia="zh-CN"/>
        </w:rPr>
        <w:t>合格</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能力评估分数≥60分</w:t>
      </w:r>
      <w:r>
        <w:rPr>
          <w:rFonts w:hint="eastAsia" w:ascii="Times New Roman" w:hAnsi="Times New Roman" w:eastAsia="方正仿宋_GB18030" w:cs="方正仿宋_GB18030"/>
          <w:color w:val="auto"/>
          <w:sz w:val="32"/>
          <w:szCs w:val="32"/>
          <w:u w:val="none"/>
        </w:rPr>
        <w:t>；</w:t>
      </w:r>
    </w:p>
    <w:p w14:paraId="0F3688E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lang w:val="en-US" w:eastAsia="zh-CN"/>
        </w:rPr>
        <w:t>不合格</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lang w:val="en-US" w:eastAsia="zh-CN"/>
        </w:rPr>
        <w:t>能力评估分数＜60分</w:t>
      </w:r>
      <w:r>
        <w:rPr>
          <w:rFonts w:hint="eastAsia" w:ascii="Times New Roman" w:hAnsi="Times New Roman" w:eastAsia="方正仿宋_GB18030" w:cs="方正仿宋_GB18030"/>
          <w:color w:val="auto"/>
          <w:sz w:val="32"/>
          <w:szCs w:val="32"/>
          <w:u w:val="none"/>
        </w:rPr>
        <w:t>。</w:t>
      </w:r>
    </w:p>
    <w:p w14:paraId="617ED92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kern w:val="2"/>
          <w:sz w:val="32"/>
          <w:szCs w:val="32"/>
          <w:u w:val="none"/>
          <w:lang w:val="en-US" w:eastAsia="zh-CN" w:bidi="ar-SA"/>
        </w:rPr>
        <w:t>第九条</w:t>
      </w:r>
      <w:r>
        <w:rPr>
          <w:rFonts w:hint="eastAsia" w:ascii="Times New Roman" w:hAnsi="Times New Roman" w:eastAsia="方正仿宋_GB18030" w:cs="方正仿宋_GB18030"/>
          <w:color w:val="auto"/>
          <w:kern w:val="2"/>
          <w:sz w:val="32"/>
          <w:szCs w:val="32"/>
          <w:u w:val="none"/>
          <w:lang w:val="en-US" w:eastAsia="zh-CN" w:bidi="ar-SA"/>
        </w:rPr>
        <w:t xml:space="preserve">  良好行为、不良行为等</w:t>
      </w:r>
      <w:r>
        <w:rPr>
          <w:rFonts w:hint="eastAsia" w:ascii="Times New Roman" w:hAnsi="Times New Roman" w:eastAsia="方正仿宋_GB18030" w:cs="方正仿宋_GB18030"/>
          <w:color w:val="auto"/>
          <w:sz w:val="32"/>
          <w:szCs w:val="32"/>
          <w:u w:val="none"/>
          <w:lang w:val="en-US" w:eastAsia="zh-CN"/>
        </w:rPr>
        <w:t>行为</w:t>
      </w:r>
      <w:r>
        <w:rPr>
          <w:rFonts w:hint="eastAsia" w:ascii="Times New Roman" w:hAnsi="Times New Roman" w:eastAsia="方正仿宋_GB18030" w:cs="方正仿宋_GB18030"/>
          <w:color w:val="auto"/>
          <w:sz w:val="32"/>
          <w:szCs w:val="32"/>
          <w:u w:val="none"/>
        </w:rPr>
        <w:t>计分期限和要求：</w:t>
      </w:r>
    </w:p>
    <w:p w14:paraId="33662B2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rPr>
        <w:t>（一）</w:t>
      </w:r>
      <w:r>
        <w:rPr>
          <w:rFonts w:hint="eastAsia" w:ascii="Times New Roman" w:hAnsi="Times New Roman" w:eastAsia="方正仿宋_GB18030" w:cs="方正仿宋_GB18030"/>
          <w:color w:val="auto"/>
          <w:sz w:val="32"/>
          <w:szCs w:val="32"/>
          <w:u w:val="none"/>
          <w:lang w:val="en-US" w:eastAsia="zh-CN"/>
        </w:rPr>
        <w:t>良好</w:t>
      </w:r>
      <w:r>
        <w:rPr>
          <w:rFonts w:hint="eastAsia" w:ascii="Times New Roman" w:hAnsi="Times New Roman" w:eastAsia="方正仿宋_GB18030" w:cs="方正仿宋_GB18030"/>
          <w:color w:val="auto"/>
          <w:kern w:val="2"/>
          <w:sz w:val="32"/>
          <w:szCs w:val="32"/>
          <w:u w:val="none"/>
          <w:lang w:val="en-US" w:eastAsia="zh-CN" w:bidi="ar-SA"/>
        </w:rPr>
        <w:t>行为</w:t>
      </w:r>
      <w:r>
        <w:rPr>
          <w:rFonts w:hint="eastAsia" w:ascii="Times New Roman" w:hAnsi="Times New Roman" w:eastAsia="方正仿宋_GB18030" w:cs="方正仿宋_GB18030"/>
          <w:color w:val="auto"/>
          <w:sz w:val="32"/>
          <w:szCs w:val="32"/>
          <w:u w:val="none"/>
        </w:rPr>
        <w:t>加分</w:t>
      </w:r>
      <w:r>
        <w:rPr>
          <w:rFonts w:hint="eastAsia" w:ascii="Times New Roman" w:hAnsi="Times New Roman" w:eastAsia="方正仿宋_GB18030" w:cs="方正仿宋_GB18030"/>
          <w:color w:val="auto"/>
          <w:sz w:val="32"/>
          <w:szCs w:val="32"/>
          <w:u w:val="none"/>
          <w:lang w:val="en-US" w:eastAsia="zh-CN"/>
        </w:rPr>
        <w:t>的，以出具的</w:t>
      </w:r>
      <w:r>
        <w:rPr>
          <w:rFonts w:hint="eastAsia" w:ascii="Times New Roman" w:hAnsi="Times New Roman" w:eastAsia="方正仿宋_GB18030" w:cs="方正仿宋_GB18030"/>
          <w:color w:val="auto"/>
          <w:sz w:val="32"/>
          <w:szCs w:val="32"/>
          <w:u w:val="none"/>
        </w:rPr>
        <w:t>表彰、奖励认定</w:t>
      </w:r>
      <w:r>
        <w:rPr>
          <w:rFonts w:hint="eastAsia" w:ascii="Times New Roman" w:hAnsi="Times New Roman" w:eastAsia="方正仿宋_GB18030" w:cs="方正仿宋_GB18030"/>
          <w:color w:val="auto"/>
          <w:sz w:val="32"/>
          <w:szCs w:val="32"/>
          <w:u w:val="none"/>
          <w:lang w:val="en-US" w:eastAsia="zh-CN"/>
        </w:rPr>
        <w:t>文件当年归集、当年加分</w:t>
      </w:r>
      <w:r>
        <w:rPr>
          <w:rFonts w:hint="eastAsia" w:ascii="Times New Roman" w:hAnsi="Times New Roman" w:eastAsia="方正仿宋_GB18030" w:cs="方正仿宋_GB18030"/>
          <w:color w:val="auto"/>
          <w:sz w:val="32"/>
          <w:szCs w:val="32"/>
          <w:u w:val="none"/>
        </w:rPr>
        <w:t>。同一主体因同一事项、行为获得多次加分的，按最高分值计取一次。</w:t>
      </w:r>
    </w:p>
    <w:p w14:paraId="4B7D3BF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rPr>
        <w:t>（二）不良</w:t>
      </w:r>
      <w:r>
        <w:rPr>
          <w:rFonts w:hint="eastAsia" w:ascii="Times New Roman" w:hAnsi="Times New Roman" w:eastAsia="方正仿宋_GB18030" w:cs="方正仿宋_GB18030"/>
          <w:color w:val="auto"/>
          <w:kern w:val="2"/>
          <w:sz w:val="32"/>
          <w:szCs w:val="32"/>
          <w:u w:val="none"/>
          <w:lang w:val="en-US" w:eastAsia="zh-CN" w:bidi="ar-SA"/>
        </w:rPr>
        <w:t>行为</w:t>
      </w:r>
      <w:r>
        <w:rPr>
          <w:rFonts w:hint="eastAsia" w:ascii="Times New Roman" w:hAnsi="Times New Roman" w:eastAsia="方正仿宋_GB18030" w:cs="方正仿宋_GB18030"/>
          <w:color w:val="auto"/>
          <w:sz w:val="32"/>
          <w:szCs w:val="32"/>
          <w:u w:val="none"/>
          <w:lang w:val="en-US" w:eastAsia="zh-CN"/>
        </w:rPr>
        <w:t>扣</w:t>
      </w:r>
      <w:r>
        <w:rPr>
          <w:rFonts w:hint="eastAsia" w:ascii="Times New Roman" w:hAnsi="Times New Roman" w:eastAsia="方正仿宋_GB18030" w:cs="方正仿宋_GB18030"/>
          <w:color w:val="auto"/>
          <w:sz w:val="32"/>
          <w:szCs w:val="32"/>
          <w:u w:val="none"/>
        </w:rPr>
        <w:t>分</w:t>
      </w:r>
      <w:r>
        <w:rPr>
          <w:rFonts w:hint="eastAsia" w:ascii="Times New Roman" w:hAnsi="Times New Roman" w:eastAsia="方正仿宋_GB18030" w:cs="方正仿宋_GB18030"/>
          <w:color w:val="auto"/>
          <w:sz w:val="32"/>
          <w:szCs w:val="32"/>
          <w:u w:val="none"/>
          <w:lang w:val="en-US" w:eastAsia="zh-CN"/>
        </w:rPr>
        <w:t>的</w:t>
      </w:r>
      <w:r>
        <w:rPr>
          <w:rFonts w:hint="eastAsia" w:ascii="Times New Roman" w:hAnsi="Times New Roman" w:eastAsia="方正仿宋_GB18030" w:cs="方正仿宋_GB18030"/>
          <w:color w:val="auto"/>
          <w:sz w:val="32"/>
          <w:szCs w:val="32"/>
          <w:u w:val="none"/>
        </w:rPr>
        <w:t>，</w:t>
      </w:r>
      <w:r>
        <w:rPr>
          <w:rFonts w:hint="eastAsia" w:ascii="Times New Roman" w:hAnsi="Times New Roman" w:eastAsia="方正仿宋_GB18030" w:cs="方正仿宋_GB18030"/>
          <w:color w:val="auto"/>
          <w:sz w:val="32"/>
          <w:szCs w:val="32"/>
          <w:u w:val="none"/>
          <w:lang w:val="en-US" w:eastAsia="zh-CN"/>
        </w:rPr>
        <w:t>以出具的通报、处罚认定文件当年归集、当年扣分</w:t>
      </w:r>
      <w:r>
        <w:rPr>
          <w:rFonts w:hint="eastAsia" w:ascii="Times New Roman" w:hAnsi="Times New Roman" w:eastAsia="方正仿宋_GB18030" w:cs="方正仿宋_GB18030"/>
          <w:color w:val="auto"/>
          <w:sz w:val="32"/>
          <w:szCs w:val="32"/>
          <w:u w:val="none"/>
        </w:rPr>
        <w:t>。同一主体因同一事项、行为受到处罚、通报的，按最高分值计取一次。</w:t>
      </w:r>
    </w:p>
    <w:p w14:paraId="1C59A22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rPr>
        <w:t>（三）法律、法规和规章另有规定的，从其规定。</w:t>
      </w:r>
    </w:p>
    <w:p w14:paraId="61552F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kern w:val="0"/>
          <w:sz w:val="32"/>
          <w:szCs w:val="32"/>
          <w:u w:val="none"/>
          <w:lang w:val="en-US" w:eastAsia="zh-CN" w:bidi="ar"/>
        </w:rPr>
      </w:pPr>
      <w:r>
        <w:rPr>
          <w:rFonts w:hint="eastAsia" w:ascii="Times New Roman" w:hAnsi="Times New Roman" w:eastAsia="方正黑体_GBK" w:cs="方正黑体_GBK"/>
          <w:color w:val="auto"/>
          <w:sz w:val="32"/>
          <w:szCs w:val="32"/>
          <w:u w:val="none"/>
        </w:rPr>
        <w:t>第</w:t>
      </w:r>
      <w:r>
        <w:rPr>
          <w:rFonts w:hint="eastAsia" w:ascii="Times New Roman" w:hAnsi="Times New Roman" w:eastAsia="方正黑体_GBK" w:cs="方正黑体_GBK"/>
          <w:color w:val="auto"/>
          <w:sz w:val="32"/>
          <w:szCs w:val="32"/>
          <w:u w:val="none"/>
          <w:lang w:val="en-US" w:eastAsia="zh-CN"/>
        </w:rPr>
        <w:t>十</w:t>
      </w:r>
      <w:r>
        <w:rPr>
          <w:rFonts w:hint="eastAsia" w:ascii="Times New Roman" w:hAnsi="Times New Roman" w:eastAsia="方正黑体_GBK" w:cs="方正黑体_GBK"/>
          <w:color w:val="auto"/>
          <w:sz w:val="32"/>
          <w:szCs w:val="32"/>
          <w:u w:val="none"/>
        </w:rPr>
        <w:t>条</w:t>
      </w:r>
      <w:r>
        <w:rPr>
          <w:rFonts w:hint="eastAsia" w:ascii="Times New Roman" w:hAnsi="Times New Roman" w:eastAsia="方正仿宋_GB18030" w:cs="方正仿宋_GB18030"/>
          <w:color w:val="auto"/>
          <w:sz w:val="32"/>
          <w:szCs w:val="32"/>
          <w:u w:val="none"/>
        </w:rPr>
        <w:t xml:space="preserve"> </w:t>
      </w:r>
      <w:r>
        <w:rPr>
          <w:rFonts w:hint="eastAsia" w:ascii="Times New Roman" w:hAnsi="Times New Roman" w:eastAsia="方正仿宋_GB18030" w:cs="方正仿宋_GB18030"/>
          <w:color w:val="auto"/>
          <w:sz w:val="32"/>
          <w:szCs w:val="32"/>
          <w:u w:val="none"/>
          <w:lang w:val="en-US" w:eastAsia="zh-CN"/>
        </w:rPr>
        <w:t xml:space="preserve"> 企业与个人履约能力评估结果定期报送政府有关部门、管理机构，</w:t>
      </w:r>
      <w:r>
        <w:rPr>
          <w:rFonts w:hint="eastAsia" w:ascii="Times New Roman" w:hAnsi="Times New Roman" w:eastAsia="方正仿宋_GB18030" w:cs="方正仿宋_GB18030"/>
          <w:color w:val="auto"/>
          <w:kern w:val="0"/>
          <w:sz w:val="32"/>
          <w:szCs w:val="32"/>
          <w:u w:val="none"/>
          <w:lang w:val="en-US" w:eastAsia="zh-CN" w:bidi="ar"/>
        </w:rPr>
        <w:t>作为咨询项目招标或直接发包时择优选择造价咨询企业的参考依据，为招标人选择招标代理机构提供参考。</w:t>
      </w:r>
    </w:p>
    <w:p w14:paraId="11EBA130">
      <w:pPr>
        <w:keepNext w:val="0"/>
        <w:keepLines w:val="0"/>
        <w:widowControl w:val="0"/>
        <w:suppressLineNumbers w:val="0"/>
        <w:adjustRightInd w:val="0"/>
        <w:snapToGrid w:val="0"/>
        <w:spacing w:line="560" w:lineRule="exact"/>
        <w:ind w:firstLine="640" w:firstLineChars="200"/>
        <w:jc w:val="left"/>
        <w:rPr>
          <w:rFonts w:hint="eastAsia" w:ascii="Times New Roman" w:hAnsi="Times New Roman" w:eastAsia="方正仿宋_GB18030" w:cs="方正仿宋_GB18030"/>
          <w:color w:val="auto"/>
          <w:u w:val="none"/>
          <w:lang w:val="en-US"/>
        </w:rPr>
      </w:pPr>
      <w:r>
        <w:rPr>
          <w:rFonts w:hint="eastAsia" w:ascii="Times New Roman" w:hAnsi="Times New Roman" w:eastAsia="方正黑体_GBK" w:cs="方正黑体_GBK"/>
          <w:color w:val="auto"/>
          <w:sz w:val="32"/>
          <w:szCs w:val="32"/>
          <w:u w:val="none"/>
          <w:lang w:val="en-US" w:eastAsia="zh-CN"/>
        </w:rPr>
        <w:t>第十一条</w:t>
      </w:r>
      <w:r>
        <w:rPr>
          <w:rFonts w:hint="eastAsia" w:ascii="Times New Roman" w:hAnsi="Times New Roman" w:eastAsia="方正仿宋_GB18030" w:cs="方正仿宋_GB18030"/>
          <w:color w:val="auto"/>
          <w:sz w:val="32"/>
          <w:szCs w:val="32"/>
          <w:u w:val="none"/>
          <w:lang w:val="en-US" w:eastAsia="zh-CN"/>
        </w:rPr>
        <w:t xml:space="preserve">  企业与个人履约能力评估结果为政府有关部门、管理机构实行分类监管提供依据。</w:t>
      </w:r>
    </w:p>
    <w:p w14:paraId="211694A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sz w:val="32"/>
          <w:szCs w:val="32"/>
          <w:u w:val="none"/>
          <w:lang w:val="en-US" w:eastAsia="zh-CN"/>
        </w:rPr>
        <w:t>第十二条</w:t>
      </w:r>
      <w:r>
        <w:rPr>
          <w:rFonts w:hint="eastAsia" w:ascii="Times New Roman" w:hAnsi="Times New Roman" w:eastAsia="方正仿宋_GB18030" w:cs="方正仿宋_GB18030"/>
          <w:color w:val="auto"/>
          <w:sz w:val="32"/>
          <w:szCs w:val="32"/>
          <w:u w:val="none"/>
          <w:lang w:val="en-US" w:eastAsia="zh-CN"/>
        </w:rPr>
        <w:t xml:space="preserve">  </w:t>
      </w:r>
      <w:r>
        <w:rPr>
          <w:rFonts w:hint="eastAsia" w:ascii="Times New Roman" w:hAnsi="Times New Roman" w:eastAsia="方正仿宋_GB18030" w:cs="方正仿宋_GB18030"/>
          <w:color w:val="auto"/>
          <w:sz w:val="32"/>
          <w:szCs w:val="32"/>
          <w:u w:val="none"/>
        </w:rPr>
        <w:t>企业分立、合并或重组的</w:t>
      </w:r>
      <w:r>
        <w:rPr>
          <w:rFonts w:hint="eastAsia" w:ascii="Times New Roman" w:hAnsi="Times New Roman" w:eastAsia="方正仿宋_GB18030" w:cs="方正仿宋_GB18030"/>
          <w:color w:val="auto"/>
          <w:sz w:val="32"/>
          <w:szCs w:val="32"/>
          <w:u w:val="none"/>
          <w:lang w:eastAsia="zh-CN"/>
        </w:rPr>
        <w:t>，</w:t>
      </w:r>
      <w:r>
        <w:rPr>
          <w:rFonts w:hint="eastAsia" w:ascii="Times New Roman" w:hAnsi="Times New Roman" w:eastAsia="方正仿宋_GB18030" w:cs="方正仿宋_GB18030"/>
          <w:color w:val="auto"/>
          <w:sz w:val="32"/>
          <w:szCs w:val="32"/>
          <w:u w:val="none"/>
        </w:rPr>
        <w:t>原履约能力评估</w:t>
      </w:r>
      <w:r>
        <w:rPr>
          <w:rFonts w:hint="eastAsia" w:ascii="Times New Roman" w:hAnsi="Times New Roman" w:eastAsia="方正仿宋_GB18030" w:cs="方正仿宋_GB18030"/>
          <w:color w:val="auto"/>
          <w:sz w:val="32"/>
          <w:szCs w:val="32"/>
          <w:u w:val="none"/>
          <w:lang w:val="en-US" w:eastAsia="zh-CN"/>
        </w:rPr>
        <w:t>结果</w:t>
      </w:r>
      <w:r>
        <w:rPr>
          <w:rFonts w:hint="eastAsia" w:ascii="Times New Roman" w:hAnsi="Times New Roman" w:eastAsia="方正仿宋_GB18030" w:cs="方正仿宋_GB18030"/>
          <w:color w:val="auto"/>
          <w:sz w:val="32"/>
          <w:szCs w:val="32"/>
          <w:u w:val="none"/>
        </w:rPr>
        <w:t>不再保留，应重新进行履约能力评估。</w:t>
      </w:r>
    </w:p>
    <w:p w14:paraId="3FD4D9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sz w:val="32"/>
          <w:szCs w:val="32"/>
          <w:u w:val="none"/>
          <w:lang w:val="en-US" w:eastAsia="zh-CN"/>
        </w:rPr>
        <w:t>第十三条</w:t>
      </w:r>
      <w:r>
        <w:rPr>
          <w:rFonts w:hint="eastAsia" w:ascii="Times New Roman" w:hAnsi="Times New Roman" w:eastAsia="方正仿宋_GB18030" w:cs="方正仿宋_GB18030"/>
          <w:strike w:val="0"/>
          <w:dstrike w:val="0"/>
          <w:color w:val="auto"/>
          <w:sz w:val="32"/>
          <w:szCs w:val="32"/>
          <w:u w:val="none"/>
          <w:lang w:val="en-US" w:eastAsia="zh-CN"/>
        </w:rPr>
        <w:t xml:space="preserve">  </w:t>
      </w:r>
      <w:r>
        <w:rPr>
          <w:rFonts w:hint="eastAsia" w:ascii="Times New Roman" w:hAnsi="Times New Roman" w:eastAsia="方正仿宋_GB18030" w:cs="方正仿宋_GB18030"/>
          <w:color w:val="auto"/>
          <w:sz w:val="32"/>
          <w:szCs w:val="32"/>
          <w:u w:val="none"/>
          <w:lang w:val="en-US" w:eastAsia="zh-CN"/>
        </w:rPr>
        <w:t>参加评估的工作人员在建设工程招标代理与造价咨询行业履约能力评估工作中应当依法履职。对于不按规范审核诚信行为信息，报送虚假信息，故意瞒报信息，篡改动态评价结果的，依法追究相关责任人责任</w:t>
      </w:r>
      <w:r>
        <w:rPr>
          <w:rFonts w:hint="eastAsia" w:ascii="Times New Roman" w:hAnsi="Times New Roman" w:eastAsia="方正仿宋_GB18030" w:cs="方正仿宋_GB18030"/>
          <w:color w:val="auto"/>
          <w:sz w:val="32"/>
          <w:szCs w:val="32"/>
          <w:u w:val="none"/>
        </w:rPr>
        <w:t>。</w:t>
      </w:r>
    </w:p>
    <w:p w14:paraId="777142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sz w:val="32"/>
          <w:szCs w:val="32"/>
          <w:u w:val="none"/>
          <w:lang w:val="en-US" w:eastAsia="zh-CN"/>
        </w:rPr>
        <w:t>第十四条</w:t>
      </w:r>
      <w:r>
        <w:rPr>
          <w:rFonts w:hint="eastAsia" w:ascii="Times New Roman" w:hAnsi="Times New Roman" w:eastAsia="方正仿宋_GB18030" w:cs="方正仿宋_GB18030"/>
          <w:color w:val="auto"/>
          <w:sz w:val="32"/>
          <w:szCs w:val="32"/>
          <w:u w:val="none"/>
          <w:lang w:val="en-US" w:eastAsia="zh-CN"/>
        </w:rPr>
        <w:t xml:space="preserve">  </w:t>
      </w:r>
      <w:r>
        <w:rPr>
          <w:rFonts w:hint="eastAsia" w:ascii="Times New Roman" w:hAnsi="Times New Roman" w:eastAsia="方正仿宋_GB18030" w:cs="方正仿宋_GB18030"/>
          <w:color w:val="auto"/>
          <w:sz w:val="32"/>
          <w:szCs w:val="32"/>
          <w:u w:val="none"/>
        </w:rPr>
        <w:t>建设工程招标代理与造价</w:t>
      </w:r>
      <w:r>
        <w:rPr>
          <w:rFonts w:hint="eastAsia" w:ascii="Times New Roman" w:hAnsi="Times New Roman" w:eastAsia="方正仿宋_GB18030" w:cs="方正仿宋_GB18030"/>
          <w:color w:val="auto"/>
          <w:sz w:val="32"/>
          <w:szCs w:val="32"/>
          <w:u w:val="none"/>
          <w:lang w:val="en-US" w:eastAsia="zh-CN"/>
        </w:rPr>
        <w:t>咨询行业综合履约能力评估</w:t>
      </w:r>
      <w:r>
        <w:rPr>
          <w:rFonts w:hint="eastAsia" w:ascii="Times New Roman" w:hAnsi="Times New Roman" w:eastAsia="方正仿宋_GB18030" w:cs="方正仿宋_GB18030"/>
          <w:color w:val="auto"/>
          <w:sz w:val="32"/>
          <w:szCs w:val="32"/>
          <w:u w:val="none"/>
        </w:rPr>
        <w:t>工作接受社会监督。</w:t>
      </w:r>
    </w:p>
    <w:p w14:paraId="5F76EE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黑体_GBK" w:cs="方正黑体_GBK"/>
          <w:color w:val="auto"/>
          <w:sz w:val="32"/>
          <w:szCs w:val="32"/>
          <w:u w:val="none"/>
        </w:rPr>
        <w:t>第</w:t>
      </w:r>
      <w:r>
        <w:rPr>
          <w:rFonts w:hint="eastAsia" w:ascii="Times New Roman" w:hAnsi="Times New Roman" w:eastAsia="方正黑体_GBK" w:cs="方正黑体_GBK"/>
          <w:color w:val="auto"/>
          <w:sz w:val="32"/>
          <w:szCs w:val="32"/>
          <w:u w:val="none"/>
          <w:lang w:val="en-US" w:eastAsia="zh-CN"/>
        </w:rPr>
        <w:t>十五</w:t>
      </w:r>
      <w:r>
        <w:rPr>
          <w:rFonts w:hint="eastAsia" w:ascii="Times New Roman" w:hAnsi="Times New Roman" w:eastAsia="方正黑体_GBK" w:cs="方正黑体_GBK"/>
          <w:color w:val="auto"/>
          <w:sz w:val="32"/>
          <w:szCs w:val="32"/>
          <w:u w:val="none"/>
        </w:rPr>
        <w:t>条</w:t>
      </w:r>
      <w:r>
        <w:rPr>
          <w:rFonts w:hint="eastAsia" w:ascii="Times New Roman" w:hAnsi="Times New Roman" w:eastAsia="方正仿宋_GB18030" w:cs="方正仿宋_GB18030"/>
          <w:color w:val="auto"/>
          <w:sz w:val="32"/>
          <w:szCs w:val="32"/>
          <w:u w:val="none"/>
        </w:rPr>
        <w:t xml:space="preserve">  本办法自202</w:t>
      </w:r>
      <w:r>
        <w:rPr>
          <w:rFonts w:hint="eastAsia" w:ascii="Times New Roman" w:hAnsi="Times New Roman" w:eastAsia="方正仿宋_GB18030" w:cs="方正仿宋_GB18030"/>
          <w:color w:val="auto"/>
          <w:sz w:val="32"/>
          <w:szCs w:val="32"/>
          <w:u w:val="none"/>
          <w:lang w:val="en-US" w:eastAsia="zh-CN"/>
        </w:rPr>
        <w:t>6</w:t>
      </w:r>
      <w:r>
        <w:rPr>
          <w:rFonts w:hint="eastAsia" w:ascii="Times New Roman" w:hAnsi="Times New Roman" w:eastAsia="方正仿宋_GB18030" w:cs="方正仿宋_GB18030"/>
          <w:color w:val="auto"/>
          <w:sz w:val="32"/>
          <w:szCs w:val="32"/>
          <w:u w:val="none"/>
        </w:rPr>
        <w:t>年</w:t>
      </w:r>
      <w:r>
        <w:rPr>
          <w:rFonts w:hint="eastAsia" w:ascii="Times New Roman" w:hAnsi="Times New Roman" w:eastAsia="方正仿宋_GB18030" w:cs="方正仿宋_GB18030"/>
          <w:color w:val="auto"/>
          <w:sz w:val="32"/>
          <w:szCs w:val="32"/>
          <w:u w:val="none"/>
          <w:lang w:val="en-US" w:eastAsia="zh-CN"/>
        </w:rPr>
        <w:t>1</w:t>
      </w:r>
      <w:r>
        <w:rPr>
          <w:rFonts w:hint="eastAsia" w:ascii="Times New Roman" w:hAnsi="Times New Roman" w:eastAsia="方正仿宋_GB18030" w:cs="方正仿宋_GB18030"/>
          <w:color w:val="auto"/>
          <w:sz w:val="32"/>
          <w:szCs w:val="32"/>
          <w:u w:val="none"/>
        </w:rPr>
        <w:t>月</w:t>
      </w:r>
      <w:r>
        <w:rPr>
          <w:rFonts w:hint="eastAsia" w:ascii="Times New Roman" w:hAnsi="Times New Roman" w:eastAsia="方正仿宋_GB18030" w:cs="方正仿宋_GB18030"/>
          <w:color w:val="auto"/>
          <w:sz w:val="32"/>
          <w:szCs w:val="32"/>
          <w:u w:val="none"/>
          <w:lang w:val="en-US" w:eastAsia="zh-CN"/>
        </w:rPr>
        <w:t>1</w:t>
      </w:r>
      <w:r>
        <w:rPr>
          <w:rFonts w:hint="eastAsia" w:ascii="Times New Roman" w:hAnsi="Times New Roman" w:eastAsia="方正仿宋_GB18030" w:cs="方正仿宋_GB18030"/>
          <w:color w:val="auto"/>
          <w:sz w:val="32"/>
          <w:szCs w:val="32"/>
          <w:u w:val="none"/>
        </w:rPr>
        <w:t>日起实施。</w:t>
      </w:r>
    </w:p>
    <w:p w14:paraId="7B09709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Times New Roman" w:hAnsi="Times New Roman" w:eastAsia="方正仿宋_GB18030" w:cs="方正仿宋_GB18030"/>
          <w:color w:val="auto"/>
          <w:sz w:val="32"/>
          <w:szCs w:val="32"/>
          <w:u w:val="none"/>
        </w:rPr>
      </w:pPr>
    </w:p>
    <w:p w14:paraId="51AB0EB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598" w:leftChars="304" w:hanging="960" w:hangingChars="300"/>
        <w:textAlignment w:val="auto"/>
        <w:rPr>
          <w:rFonts w:hint="eastAsia" w:ascii="Times New Roman" w:hAnsi="Times New Roman" w:eastAsia="方正仿宋_GB18030" w:cs="方正仿宋_GB18030"/>
          <w:color w:val="auto"/>
          <w:sz w:val="32"/>
          <w:szCs w:val="32"/>
          <w:u w:val="none"/>
          <w:lang w:val="en-US" w:eastAsia="zh-CN"/>
        </w:rPr>
      </w:pPr>
      <w:r>
        <w:rPr>
          <w:rFonts w:hint="eastAsia" w:ascii="Times New Roman" w:hAnsi="Times New Roman" w:eastAsia="方正仿宋_GB18030" w:cs="方正仿宋_GB18030"/>
          <w:color w:val="auto"/>
          <w:sz w:val="32"/>
          <w:szCs w:val="32"/>
          <w:u w:val="none"/>
          <w:lang w:val="en-US" w:eastAsia="zh-CN"/>
        </w:rPr>
        <w:t>附件：1.泰州市建设工程招标代理与造价咨询企业履约能力评估标准</w:t>
      </w:r>
      <w:bookmarkStart w:id="0" w:name="_GoBack"/>
      <w:bookmarkEnd w:id="0"/>
    </w:p>
    <w:p w14:paraId="331882C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596" w:leftChars="760" w:firstLine="0" w:firstLineChars="0"/>
        <w:jc w:val="left"/>
        <w:textAlignment w:val="auto"/>
        <w:rPr>
          <w:rFonts w:hint="eastAsia" w:ascii="Times New Roman" w:hAnsi="Times New Roman" w:eastAsia="方正仿宋_GB18030" w:cs="方正仿宋_GB18030"/>
          <w:color w:val="auto"/>
          <w:sz w:val="32"/>
          <w:szCs w:val="32"/>
          <w:u w:val="none"/>
        </w:rPr>
      </w:pPr>
      <w:r>
        <w:rPr>
          <w:rFonts w:hint="eastAsia" w:ascii="Times New Roman" w:hAnsi="Times New Roman" w:eastAsia="方正仿宋_GB18030" w:cs="方正仿宋_GB18030"/>
          <w:color w:val="auto"/>
          <w:sz w:val="32"/>
          <w:szCs w:val="32"/>
          <w:u w:val="none"/>
          <w:lang w:val="en-US" w:eastAsia="zh-CN"/>
        </w:rPr>
        <w:t>2.泰州市建设工程招标代理与造价咨询从业人员履约能力评估标准</w:t>
      </w:r>
    </w:p>
    <w:p w14:paraId="78DCF5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textAlignment w:val="auto"/>
        <w:rPr>
          <w:rFonts w:hint="eastAsia" w:ascii="Times New Roman" w:hAnsi="Times New Roman" w:eastAsia="方正仿宋_GB18030" w:cs="方正仿宋_GB18030"/>
          <w:color w:val="auto"/>
          <w:u w:val="none"/>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embedRegular r:id="rId1" w:fontKey="{EEFA3012-6D60-426A-8C0B-4D85A5FFA443}"/>
  </w:font>
  <w:font w:name="方正小标宋_GBK">
    <w:panose1 w:val="02000000000000000000"/>
    <w:charset w:val="86"/>
    <w:family w:val="auto"/>
    <w:pitch w:val="default"/>
    <w:sig w:usb0="A00002BF" w:usb1="38CF7CFA" w:usb2="00082016" w:usb3="00000000" w:csb0="00040001" w:csb1="00000000"/>
    <w:embedRegular r:id="rId2" w:fontKey="{81FFB1A9-DB43-4362-AA81-80F9292709DA}"/>
  </w:font>
  <w:font w:name="方正黑体_GBK">
    <w:panose1 w:val="02000000000000000000"/>
    <w:charset w:val="86"/>
    <w:family w:val="auto"/>
    <w:pitch w:val="default"/>
    <w:sig w:usb0="A00002BF" w:usb1="38CF7CFA" w:usb2="00082016" w:usb3="00000000" w:csb0="00040001" w:csb1="00000000"/>
    <w:embedRegular r:id="rId3" w:fontKey="{044AF9AE-DD1C-459E-AF8B-9826F67F2B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0E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A28A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4A28A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D79FB"/>
    <w:rsid w:val="058A37D2"/>
    <w:rsid w:val="14F97AF7"/>
    <w:rsid w:val="18336281"/>
    <w:rsid w:val="19396037"/>
    <w:rsid w:val="21477EE6"/>
    <w:rsid w:val="29DF4DBA"/>
    <w:rsid w:val="2A39626F"/>
    <w:rsid w:val="2B7C5166"/>
    <w:rsid w:val="322117DB"/>
    <w:rsid w:val="3EBE2AB9"/>
    <w:rsid w:val="49370236"/>
    <w:rsid w:val="4A900584"/>
    <w:rsid w:val="50603AEE"/>
    <w:rsid w:val="51F421D4"/>
    <w:rsid w:val="6B9E5E98"/>
    <w:rsid w:val="6DEA27B0"/>
    <w:rsid w:val="761D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1408</Words>
  <Characters>1433</Characters>
  <Lines>0</Lines>
  <Paragraphs>0</Paragraphs>
  <TotalTime>103</TotalTime>
  <ScaleCrop>false</ScaleCrop>
  <LinksUpToDate>false</LinksUpToDate>
  <CharactersWithSpaces>1465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2025-06-04T08:28:00Z</dcterms:created>
  <dc:creator>未命名</dc:creator>
  <cp:lastModifiedBy>daydayup</cp:lastModifiedBy>
  <dcterms:modified xsi:type="dcterms:W3CDTF">2025-09-17T06:44:30Z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BBA49C6FDEA441DEB7A176E04611C71D_13</vt:lpwstr>
  </property>
  <property fmtid="{D5CDD505-2E9C-101B-9397-08002B2CF9AE}" pid="4" name="KSOTemplateDocerSaveRecord">
    <vt:lpwstr>eyJoZGlkIjoiNzQ2YzQ5YTMxNTg3MDU3NjYzY2JjZWEwYTMwMWYxODciLCJ1c2VySWQiOiIxMTk5MjEwMTc1In0=</vt:lpwstr>
  </property>
</Properties>
</file>